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9F73E" w14:textId="77777777" w:rsidR="00EF7BD9" w:rsidRDefault="00EF7BD9" w:rsidP="00EF7BD9">
      <w:pPr>
        <w:jc w:val="center"/>
        <w:rPr>
          <w:rFonts w:ascii="Cordia New" w:hAnsi="Cordia New" w:cs="Cordia New"/>
          <w:b/>
          <w:bCs/>
          <w:sz w:val="32"/>
          <w:szCs w:val="32"/>
        </w:rPr>
      </w:pPr>
      <w:r w:rsidRPr="007F767E">
        <w:rPr>
          <w:rFonts w:ascii="Cordia New" w:hAnsi="Cordia New" w:cs="Cordia New"/>
          <w:b/>
          <w:bCs/>
          <w:sz w:val="32"/>
          <w:szCs w:val="32"/>
        </w:rPr>
        <w:t xml:space="preserve">SCGC Subsidiaries Win </w:t>
      </w:r>
      <w:r>
        <w:rPr>
          <w:rFonts w:ascii="Cordia New" w:hAnsi="Cordia New" w:cs="Cordia New"/>
          <w:b/>
          <w:bCs/>
          <w:sz w:val="32"/>
          <w:szCs w:val="32"/>
        </w:rPr>
        <w:t xml:space="preserve">10 </w:t>
      </w:r>
      <w:r w:rsidRPr="007F767E">
        <w:rPr>
          <w:rFonts w:ascii="Cordia New" w:hAnsi="Cordia New" w:cs="Cordia New"/>
          <w:b/>
          <w:bCs/>
          <w:sz w:val="32"/>
          <w:szCs w:val="32"/>
        </w:rPr>
        <w:t xml:space="preserve">Awards for Disease-Free, Safe Workplaces Promoting </w:t>
      </w:r>
    </w:p>
    <w:p w14:paraId="07D16318" w14:textId="77777777" w:rsidR="00EF7BD9" w:rsidRDefault="00EF7BD9" w:rsidP="00EF7BD9">
      <w:pPr>
        <w:jc w:val="center"/>
        <w:rPr>
          <w:rFonts w:ascii="Cordia New" w:hAnsi="Cordia New" w:cs="Cordia New"/>
          <w:b/>
          <w:bCs/>
          <w:sz w:val="32"/>
          <w:szCs w:val="32"/>
        </w:rPr>
      </w:pPr>
      <w:r w:rsidRPr="007F767E">
        <w:rPr>
          <w:rFonts w:ascii="Cordia New" w:hAnsi="Cordia New" w:cs="Cordia New"/>
          <w:b/>
          <w:bCs/>
          <w:sz w:val="32"/>
          <w:szCs w:val="32"/>
        </w:rPr>
        <w:t xml:space="preserve">Physical and Mental Well-being in 2023 from Ministry of Public Health, </w:t>
      </w:r>
    </w:p>
    <w:p w14:paraId="786A88A5" w14:textId="579EF2B1" w:rsidR="00EF7BD9" w:rsidRPr="007F767E" w:rsidRDefault="00EF7BD9" w:rsidP="00EF7BD9">
      <w:pPr>
        <w:jc w:val="center"/>
        <w:rPr>
          <w:rFonts w:ascii="Cordia New" w:hAnsi="Cordia New" w:cs="Cordia New"/>
          <w:b/>
          <w:bCs/>
          <w:sz w:val="32"/>
          <w:szCs w:val="32"/>
        </w:rPr>
      </w:pPr>
      <w:r w:rsidRPr="007F767E">
        <w:rPr>
          <w:rFonts w:ascii="Cordia New" w:hAnsi="Cordia New" w:cs="Cordia New"/>
          <w:b/>
          <w:bCs/>
          <w:sz w:val="32"/>
          <w:szCs w:val="32"/>
        </w:rPr>
        <w:t>Highlighting Safe Factory Alongside Sustainable Environmental and Social Stewardship</w:t>
      </w:r>
    </w:p>
    <w:p w14:paraId="5C12E36B" w14:textId="77777777" w:rsidR="00EF7BD9" w:rsidRDefault="00EF7BD9" w:rsidP="00EF7BD9">
      <w:pPr>
        <w:jc w:val="both"/>
        <w:rPr>
          <w:rFonts w:ascii="Cordia New" w:hAnsi="Cordia New" w:cs="Cordia New"/>
          <w:b/>
          <w:bCs/>
          <w:sz w:val="32"/>
          <w:szCs w:val="32"/>
        </w:rPr>
      </w:pPr>
    </w:p>
    <w:p w14:paraId="69600AA9" w14:textId="36224737" w:rsidR="00EF7BD9" w:rsidRPr="007F767E" w:rsidRDefault="00EF7BD9" w:rsidP="00EF7BD9">
      <w:pPr>
        <w:jc w:val="both"/>
        <w:rPr>
          <w:rFonts w:ascii="Cordia New" w:hAnsi="Cordia New" w:cs="Cordia New"/>
          <w:sz w:val="32"/>
          <w:szCs w:val="32"/>
        </w:rPr>
      </w:pPr>
      <w:r w:rsidRPr="007F767E">
        <w:rPr>
          <w:rFonts w:ascii="Cordia New" w:hAnsi="Cordia New" w:cs="Cordia New"/>
          <w:b/>
          <w:bCs/>
          <w:sz w:val="32"/>
          <w:szCs w:val="32"/>
        </w:rPr>
        <w:t>Bangkok – 2</w:t>
      </w:r>
      <w:r>
        <w:rPr>
          <w:rFonts w:ascii="Cordia New" w:hAnsi="Cordia New" w:cs="Cordia New"/>
          <w:b/>
          <w:bCs/>
          <w:sz w:val="32"/>
          <w:szCs w:val="32"/>
        </w:rPr>
        <w:t>8</w:t>
      </w:r>
      <w:r w:rsidRPr="007F767E">
        <w:rPr>
          <w:rFonts w:ascii="Cordia New" w:hAnsi="Cordia New" w:cs="Cordia New"/>
          <w:b/>
          <w:bCs/>
          <w:sz w:val="32"/>
          <w:szCs w:val="32"/>
        </w:rPr>
        <w:t xml:space="preserve"> December 2023</w:t>
      </w:r>
      <w:r w:rsidRPr="007F767E">
        <w:rPr>
          <w:rFonts w:ascii="Cordia New" w:hAnsi="Cordia New" w:cs="Cordia New"/>
          <w:sz w:val="32"/>
          <w:szCs w:val="32"/>
        </w:rPr>
        <w:t xml:space="preserve">: Recently, 10 companies within the SCG Chemicals group, or SCGC, have </w:t>
      </w:r>
      <w:r w:rsidRPr="007F767E">
        <w:rPr>
          <w:rFonts w:ascii="Cordia New" w:hAnsi="Cordia New" w:cs="Cordia New"/>
          <w:b/>
          <w:bCs/>
          <w:sz w:val="32"/>
          <w:szCs w:val="32"/>
        </w:rPr>
        <w:t>won the national-level Gold Shield Award from Thailand's Ministry of Public Health. This award was presented by three departments: the Department of Disease Control, the Department of Health, and the Department of Mental Health.</w:t>
      </w:r>
      <w:r w:rsidRPr="007F767E">
        <w:rPr>
          <w:rFonts w:ascii="Cordia New" w:hAnsi="Cordia New" w:cs="Cordia New"/>
          <w:sz w:val="32"/>
          <w:szCs w:val="32"/>
        </w:rPr>
        <w:t xml:space="preserve"> </w:t>
      </w:r>
      <w:r w:rsidRPr="007F767E">
        <w:rPr>
          <w:rFonts w:ascii="Cordia New" w:hAnsi="Cordia New" w:cs="Cordia New"/>
          <w:b/>
          <w:bCs/>
          <w:sz w:val="32"/>
          <w:szCs w:val="32"/>
        </w:rPr>
        <w:t xml:space="preserve">It is part of the 2023 “Disease-Free, Safe Workplace, Healthy Body and Mind” project. </w:t>
      </w:r>
      <w:r w:rsidRPr="007F767E">
        <w:rPr>
          <w:rFonts w:ascii="Cordia New" w:hAnsi="Cordia New" w:cs="Cordia New"/>
          <w:sz w:val="32"/>
          <w:szCs w:val="32"/>
        </w:rPr>
        <w:t xml:space="preserve">The evaluation criteria were based on assessing the factories in terms of their occupational health services and environmental medical services. This initiative aims to ensure that the country's working-age population maintains both physical and mental health, and enjoys a positive working environment. This is crucial for national development, aligning with the concept, “World Changes, People Adapt, Elevating Workers’ Health.” </w:t>
      </w:r>
      <w:r w:rsidRPr="007F767E">
        <w:rPr>
          <w:rFonts w:ascii="Cordia New" w:hAnsi="Cordia New" w:cs="Cordia New"/>
          <w:b/>
          <w:bCs/>
          <w:sz w:val="32"/>
          <w:szCs w:val="32"/>
        </w:rPr>
        <w:t>This achievement reflects SCGC's commitment to being a leading integrated chemical player in the region, focusing on business growth alongside sustainability. SCGC operates under corporate governance principles, adhering to environmental, social, and employee care standards in line with ESG guidelines.</w:t>
      </w:r>
      <w:r w:rsidRPr="007F767E">
        <w:rPr>
          <w:rFonts w:ascii="Cordia New" w:hAnsi="Cordia New" w:cs="Cordia New"/>
          <w:sz w:val="32"/>
          <w:szCs w:val="32"/>
        </w:rPr>
        <w:t xml:space="preserve"> The award was presented by Dr. Thongchai </w:t>
      </w:r>
      <w:proofErr w:type="spellStart"/>
      <w:r w:rsidRPr="007F767E">
        <w:rPr>
          <w:rFonts w:ascii="Cordia New" w:hAnsi="Cordia New" w:cs="Cordia New"/>
          <w:sz w:val="32"/>
          <w:szCs w:val="32"/>
        </w:rPr>
        <w:t>Keeratihattayakorn</w:t>
      </w:r>
      <w:proofErr w:type="spellEnd"/>
      <w:r w:rsidRPr="007F767E">
        <w:rPr>
          <w:rFonts w:ascii="Cordia New" w:hAnsi="Cordia New" w:cs="Cordia New"/>
          <w:sz w:val="32"/>
          <w:szCs w:val="32"/>
        </w:rPr>
        <w:t>, Director-General of the Department of Disease Control.</w:t>
      </w:r>
    </w:p>
    <w:p w14:paraId="084F6846" w14:textId="77777777" w:rsidR="00EF7BD9" w:rsidRPr="00ED0E25" w:rsidRDefault="00EF7BD9" w:rsidP="00ED0E25">
      <w:pPr>
        <w:ind w:firstLine="720"/>
        <w:jc w:val="thaiDistribute"/>
        <w:rPr>
          <w:rFonts w:asciiTheme="minorBidi" w:hAnsiTheme="minorBidi" w:cs="Cordia New"/>
          <w:sz w:val="32"/>
          <w:szCs w:val="32"/>
        </w:rPr>
      </w:pPr>
    </w:p>
    <w:p w14:paraId="03595688" w14:textId="065C8324" w:rsidR="00EF7BD9" w:rsidRPr="007F767E" w:rsidRDefault="00EF7BD9" w:rsidP="00EF7BD9">
      <w:pPr>
        <w:ind w:firstLine="720"/>
        <w:jc w:val="both"/>
        <w:rPr>
          <w:rFonts w:ascii="Cordia New" w:hAnsi="Cordia New" w:cs="Cordia New"/>
          <w:sz w:val="32"/>
          <w:szCs w:val="32"/>
        </w:rPr>
      </w:pPr>
      <w:r w:rsidRPr="007F767E">
        <w:rPr>
          <w:rFonts w:ascii="Cordia New" w:hAnsi="Cordia New" w:cs="Cordia New"/>
          <w:sz w:val="32"/>
          <w:szCs w:val="32"/>
        </w:rPr>
        <w:t>The companies within the SCG Chemicals group, or SCGC, that received the national-level Gold Shield Award for 2023 include: 1. Thai Polyethylene Company Limited, 2. Thai MFC Company Limited, 3. Grand Siam Composites Company Limited, 4. Rayong Olefins Company Limited, 5. Map Ta Phut Olefins Company Limited, 6. Repco Maintenance Company Limited, 7. Map Ta Phut Tank Terminal Company Limited, 8. Rayong Terminal Company Limited, 9. SCG</w:t>
      </w:r>
      <w:r>
        <w:rPr>
          <w:rFonts w:ascii="Cordia New" w:hAnsi="Cordia New" w:cs="Cordia New"/>
          <w:sz w:val="32"/>
          <w:szCs w:val="32"/>
        </w:rPr>
        <w:t>C</w:t>
      </w:r>
      <w:r w:rsidRPr="007F767E">
        <w:rPr>
          <w:rFonts w:ascii="Cordia New" w:hAnsi="Cordia New" w:cs="Cordia New"/>
          <w:sz w:val="32"/>
          <w:szCs w:val="32"/>
        </w:rPr>
        <w:t xml:space="preserve"> ICO Polymers Company Limited, and 10. Nawa Plastic Industries Company Limited.</w:t>
      </w:r>
    </w:p>
    <w:p w14:paraId="15595642" w14:textId="77777777" w:rsidR="00EF7BD9" w:rsidRPr="007F767E" w:rsidRDefault="00EF7BD9" w:rsidP="00EF7BD9">
      <w:pPr>
        <w:rPr>
          <w:rFonts w:ascii="Cordia New" w:hAnsi="Cordia New" w:cs="Cordia New"/>
          <w:sz w:val="32"/>
          <w:szCs w:val="32"/>
        </w:rPr>
      </w:pPr>
    </w:p>
    <w:p w14:paraId="17505926" w14:textId="77777777" w:rsidR="00955318" w:rsidRDefault="00955318" w:rsidP="0089601B">
      <w:pPr>
        <w:pStyle w:val="NoSpacing"/>
        <w:ind w:firstLine="720"/>
        <w:jc w:val="thaiDistribute"/>
        <w:rPr>
          <w:rFonts w:asciiTheme="minorBidi" w:hAnsiTheme="minorBidi" w:cs="Cordia New"/>
          <w:sz w:val="32"/>
          <w:szCs w:val="32"/>
        </w:rPr>
      </w:pPr>
    </w:p>
    <w:p w14:paraId="0E7189EB" w14:textId="77777777" w:rsidR="00EF7BD9" w:rsidRPr="007F767E" w:rsidRDefault="00EF7BD9" w:rsidP="00EF7BD9">
      <w:pPr>
        <w:ind w:firstLine="720"/>
        <w:jc w:val="both"/>
        <w:rPr>
          <w:rFonts w:ascii="Cordia New" w:hAnsi="Cordia New" w:cs="Cordia New"/>
          <w:sz w:val="32"/>
          <w:szCs w:val="32"/>
        </w:rPr>
      </w:pPr>
      <w:r w:rsidRPr="007F767E">
        <w:rPr>
          <w:rFonts w:ascii="Cordia New" w:hAnsi="Cordia New" w:cs="Cordia New"/>
          <w:sz w:val="32"/>
          <w:szCs w:val="32"/>
        </w:rPr>
        <w:t xml:space="preserve">The "Disease-Free, Safe Workplace, Healthy Body and Mind" project is assessed based on five activities: Disease surveillance related to work, Activities promoting health and good nutrition, Activities to prevent and reduce workplace accidents, Activities promoting safety, and Activities to </w:t>
      </w:r>
      <w:r w:rsidRPr="007F767E">
        <w:rPr>
          <w:rFonts w:ascii="Cordia New" w:hAnsi="Cordia New" w:cs="Cordia New"/>
          <w:sz w:val="32"/>
          <w:szCs w:val="32"/>
        </w:rPr>
        <w:lastRenderedPageBreak/>
        <w:t>promote good mental health. The Ministry of Public Health awards these to workplaces as models for other organizations. Additionally, this initiative aims to promote safety among the working population from occupational and environmental hazards, as well as to ensure good mental health.</w:t>
      </w:r>
    </w:p>
    <w:p w14:paraId="34C4B3AB" w14:textId="77777777" w:rsidR="00EF7BD9" w:rsidRPr="007F767E" w:rsidRDefault="00EF7BD9" w:rsidP="00EF7BD9">
      <w:pPr>
        <w:rPr>
          <w:rFonts w:ascii="Cordia New" w:hAnsi="Cordia New" w:cs="Cordia New"/>
          <w:sz w:val="32"/>
          <w:szCs w:val="32"/>
        </w:rPr>
      </w:pPr>
    </w:p>
    <w:p w14:paraId="2198BDCD" w14:textId="3BBCFFE6" w:rsidR="00AB1E3D" w:rsidRPr="00225578" w:rsidRDefault="00EF7BD9" w:rsidP="00ED0E25">
      <w:pPr>
        <w:pStyle w:val="NoSpacing"/>
        <w:jc w:val="thaiDistribute"/>
        <w:rPr>
          <w:rFonts w:ascii="Cordia New" w:hAnsi="Cordia New" w:cs="Cordia New"/>
          <w:color w:val="000000"/>
          <w:sz w:val="32"/>
          <w:szCs w:val="32"/>
          <w:shd w:val="clear" w:color="auto" w:fill="FFFFFF"/>
        </w:rPr>
      </w:pPr>
      <w:r>
        <w:rPr>
          <w:rFonts w:asciiTheme="minorBidi" w:hAnsiTheme="minorBidi"/>
          <w:sz w:val="32"/>
          <w:szCs w:val="32"/>
        </w:rPr>
        <w:t>For more information:</w:t>
      </w:r>
      <w:r w:rsidR="00802C0C" w:rsidRPr="00CF63A4">
        <w:rPr>
          <w:rFonts w:asciiTheme="minorBidi" w:hAnsiTheme="minorBidi"/>
          <w:sz w:val="32"/>
          <w:szCs w:val="32"/>
          <w:cs/>
        </w:rPr>
        <w:t xml:space="preserve"> </w:t>
      </w:r>
      <w:hyperlink r:id="rId6" w:history="1">
        <w:r w:rsidR="00802C0C" w:rsidRPr="00CF63A4">
          <w:rPr>
            <w:rStyle w:val="Hyperlink"/>
            <w:rFonts w:asciiTheme="minorBidi" w:hAnsiTheme="minorBidi"/>
            <w:sz w:val="32"/>
            <w:szCs w:val="32"/>
            <w:cs/>
            <w:lang w:bidi="th"/>
          </w:rPr>
          <w:t>https</w:t>
        </w:r>
        <w:r w:rsidR="00802C0C" w:rsidRPr="00CF63A4">
          <w:rPr>
            <w:rStyle w:val="Hyperlink"/>
            <w:rFonts w:asciiTheme="minorBidi" w:hAnsiTheme="minorBidi"/>
            <w:sz w:val="32"/>
            <w:szCs w:val="32"/>
            <w:cs/>
          </w:rPr>
          <w:t>://</w:t>
        </w:r>
        <w:r w:rsidR="00802C0C" w:rsidRPr="00CF63A4">
          <w:rPr>
            <w:rStyle w:val="Hyperlink"/>
            <w:rFonts w:asciiTheme="minorBidi" w:hAnsiTheme="minorBidi"/>
            <w:sz w:val="32"/>
            <w:szCs w:val="32"/>
            <w:cs/>
            <w:lang w:bidi="th"/>
          </w:rPr>
          <w:t>www</w:t>
        </w:r>
        <w:r w:rsidR="00802C0C" w:rsidRPr="00CF63A4">
          <w:rPr>
            <w:rStyle w:val="Hyperlink"/>
            <w:rFonts w:asciiTheme="minorBidi" w:hAnsiTheme="minorBidi"/>
            <w:sz w:val="32"/>
            <w:szCs w:val="32"/>
            <w:cs/>
          </w:rPr>
          <w:t>.</w:t>
        </w:r>
        <w:r w:rsidR="00802C0C" w:rsidRPr="00CF63A4">
          <w:rPr>
            <w:rStyle w:val="Hyperlink"/>
            <w:rFonts w:asciiTheme="minorBidi" w:hAnsiTheme="minorBidi"/>
            <w:sz w:val="32"/>
            <w:szCs w:val="32"/>
            <w:cs/>
            <w:lang w:bidi="th"/>
          </w:rPr>
          <w:t>scgchemicals</w:t>
        </w:r>
        <w:r w:rsidR="00802C0C" w:rsidRPr="00CF63A4">
          <w:rPr>
            <w:rStyle w:val="Hyperlink"/>
            <w:rFonts w:asciiTheme="minorBidi" w:hAnsiTheme="minorBidi"/>
            <w:sz w:val="32"/>
            <w:szCs w:val="32"/>
            <w:cs/>
          </w:rPr>
          <w:t>.</w:t>
        </w:r>
        <w:r w:rsidR="00802C0C" w:rsidRPr="00CF63A4">
          <w:rPr>
            <w:rStyle w:val="Hyperlink"/>
            <w:rFonts w:asciiTheme="minorBidi" w:hAnsiTheme="minorBidi"/>
            <w:sz w:val="32"/>
            <w:szCs w:val="32"/>
            <w:cs/>
            <w:lang w:bidi="th"/>
          </w:rPr>
          <w:t>com</w:t>
        </w:r>
      </w:hyperlink>
    </w:p>
    <w:sectPr w:rsidR="00AB1E3D" w:rsidRPr="0022557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31F25" w14:textId="77777777" w:rsidR="00E9105A" w:rsidRDefault="00E9105A" w:rsidP="00754835">
      <w:r>
        <w:separator/>
      </w:r>
    </w:p>
  </w:endnote>
  <w:endnote w:type="continuationSeparator" w:id="0">
    <w:p w14:paraId="5283E714" w14:textId="77777777" w:rsidR="00E9105A" w:rsidRDefault="00E9105A" w:rsidP="00754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TH SarabunPSK">
    <w:charset w:val="DE"/>
    <w:family w:val="swiss"/>
    <w:pitch w:val="variable"/>
    <w:sig w:usb0="21000007" w:usb1="00000000" w:usb2="00000000" w:usb3="00000000" w:csb0="00010111"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8A11A" w14:textId="77777777" w:rsidR="00754835" w:rsidRDefault="007548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0E545" w14:textId="77777777" w:rsidR="00754835" w:rsidRDefault="0075483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C6922" w14:textId="77777777" w:rsidR="00754835" w:rsidRDefault="007548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64C33" w14:textId="77777777" w:rsidR="00E9105A" w:rsidRDefault="00E9105A" w:rsidP="00754835">
      <w:r>
        <w:separator/>
      </w:r>
    </w:p>
  </w:footnote>
  <w:footnote w:type="continuationSeparator" w:id="0">
    <w:p w14:paraId="2E2C0D09" w14:textId="77777777" w:rsidR="00E9105A" w:rsidRDefault="00E9105A" w:rsidP="007548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C01FD" w14:textId="77777777" w:rsidR="00754835" w:rsidRDefault="007548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B66E5" w14:textId="51E1B981" w:rsidR="007135F6" w:rsidRPr="00EF7BD9" w:rsidRDefault="007135F6" w:rsidP="007135F6">
    <w:pPr>
      <w:pStyle w:val="Header"/>
      <w:rPr>
        <w:rFonts w:asciiTheme="minorBidi" w:hAnsiTheme="minorBidi"/>
        <w:sz w:val="32"/>
        <w:szCs w:val="40"/>
      </w:rPr>
    </w:pPr>
    <w:r w:rsidRPr="00EF7BD9">
      <w:rPr>
        <w:rFonts w:asciiTheme="minorBidi" w:hAnsiTheme="minorBidi"/>
        <w:noProof/>
        <w:sz w:val="32"/>
        <w:szCs w:val="40"/>
      </w:rPr>
      <w:drawing>
        <wp:anchor distT="0" distB="0" distL="114300" distR="114300" simplePos="0" relativeHeight="251659264" behindDoc="0" locked="0" layoutInCell="1" allowOverlap="1" wp14:anchorId="18707409" wp14:editId="2D204594">
          <wp:simplePos x="0" y="0"/>
          <wp:positionH relativeFrom="margin">
            <wp:align>right</wp:align>
          </wp:positionH>
          <wp:positionV relativeFrom="paragraph">
            <wp:posOffset>-124460</wp:posOffset>
          </wp:positionV>
          <wp:extent cx="1595755" cy="528320"/>
          <wp:effectExtent l="0" t="0" r="0" b="0"/>
          <wp:wrapThrough wrapText="bothSides">
            <wp:wrapPolygon edited="0">
              <wp:start x="1547" y="2337"/>
              <wp:lineTo x="1031" y="6231"/>
              <wp:lineTo x="1547" y="18692"/>
              <wp:lineTo x="3868" y="18692"/>
              <wp:lineTo x="20113" y="15577"/>
              <wp:lineTo x="21144" y="5452"/>
              <wp:lineTo x="19855" y="2337"/>
              <wp:lineTo x="1547" y="233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GC Logo_Full Color (Smal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95755" cy="528320"/>
                  </a:xfrm>
                  <a:prstGeom prst="rect">
                    <a:avLst/>
                  </a:prstGeom>
                </pic:spPr>
              </pic:pic>
            </a:graphicData>
          </a:graphic>
          <wp14:sizeRelH relativeFrom="page">
            <wp14:pctWidth>0</wp14:pctWidth>
          </wp14:sizeRelH>
          <wp14:sizeRelV relativeFrom="page">
            <wp14:pctHeight>0</wp14:pctHeight>
          </wp14:sizeRelV>
        </wp:anchor>
      </w:drawing>
    </w:r>
    <w:r w:rsidR="00EF7BD9" w:rsidRPr="00EF7BD9">
      <w:rPr>
        <w:rFonts w:asciiTheme="minorBidi" w:hAnsiTheme="minorBidi"/>
        <w:sz w:val="32"/>
        <w:szCs w:val="40"/>
      </w:rPr>
      <w:t>Press Release</w:t>
    </w:r>
  </w:p>
  <w:p w14:paraId="3392CEDF" w14:textId="4A19FD1B" w:rsidR="00754835" w:rsidRDefault="007548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10F05" w14:textId="77777777" w:rsidR="00754835" w:rsidRDefault="0075483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835"/>
    <w:rsid w:val="000112A8"/>
    <w:rsid w:val="0004077C"/>
    <w:rsid w:val="0004631B"/>
    <w:rsid w:val="00073374"/>
    <w:rsid w:val="00085581"/>
    <w:rsid w:val="000B07BD"/>
    <w:rsid w:val="000C5A28"/>
    <w:rsid w:val="000D6CCB"/>
    <w:rsid w:val="00125566"/>
    <w:rsid w:val="0015394E"/>
    <w:rsid w:val="00166A3B"/>
    <w:rsid w:val="00182ED4"/>
    <w:rsid w:val="00183F40"/>
    <w:rsid w:val="001A5441"/>
    <w:rsid w:val="00225578"/>
    <w:rsid w:val="00232183"/>
    <w:rsid w:val="002674A4"/>
    <w:rsid w:val="0027089F"/>
    <w:rsid w:val="002A550B"/>
    <w:rsid w:val="002D650B"/>
    <w:rsid w:val="00331FA5"/>
    <w:rsid w:val="0034105C"/>
    <w:rsid w:val="003756DE"/>
    <w:rsid w:val="003B3D41"/>
    <w:rsid w:val="003B6AD0"/>
    <w:rsid w:val="003C6D08"/>
    <w:rsid w:val="003E35ED"/>
    <w:rsid w:val="00410ABD"/>
    <w:rsid w:val="0042609F"/>
    <w:rsid w:val="00441A26"/>
    <w:rsid w:val="0048629E"/>
    <w:rsid w:val="0049472D"/>
    <w:rsid w:val="00495A0C"/>
    <w:rsid w:val="004B76B0"/>
    <w:rsid w:val="004D1811"/>
    <w:rsid w:val="006431BF"/>
    <w:rsid w:val="00655327"/>
    <w:rsid w:val="00690657"/>
    <w:rsid w:val="00695060"/>
    <w:rsid w:val="006B1863"/>
    <w:rsid w:val="006C69F5"/>
    <w:rsid w:val="006D3F88"/>
    <w:rsid w:val="006E6235"/>
    <w:rsid w:val="00702257"/>
    <w:rsid w:val="00711131"/>
    <w:rsid w:val="007135F6"/>
    <w:rsid w:val="007175B6"/>
    <w:rsid w:val="00730183"/>
    <w:rsid w:val="00736C94"/>
    <w:rsid w:val="00754835"/>
    <w:rsid w:val="00802C0C"/>
    <w:rsid w:val="00826464"/>
    <w:rsid w:val="00834635"/>
    <w:rsid w:val="00847ECB"/>
    <w:rsid w:val="00851084"/>
    <w:rsid w:val="008668D8"/>
    <w:rsid w:val="008810AA"/>
    <w:rsid w:val="00890C0A"/>
    <w:rsid w:val="0089601B"/>
    <w:rsid w:val="008B0376"/>
    <w:rsid w:val="008B24C6"/>
    <w:rsid w:val="008C1ED5"/>
    <w:rsid w:val="008D3379"/>
    <w:rsid w:val="009200E5"/>
    <w:rsid w:val="00924D2F"/>
    <w:rsid w:val="00955318"/>
    <w:rsid w:val="00956FA6"/>
    <w:rsid w:val="00957E7D"/>
    <w:rsid w:val="00976B93"/>
    <w:rsid w:val="009A2DDA"/>
    <w:rsid w:val="009F4B17"/>
    <w:rsid w:val="00A82C58"/>
    <w:rsid w:val="00AB1E3D"/>
    <w:rsid w:val="00AD6CE0"/>
    <w:rsid w:val="00AE2809"/>
    <w:rsid w:val="00AF2A57"/>
    <w:rsid w:val="00BD0CD0"/>
    <w:rsid w:val="00BE1340"/>
    <w:rsid w:val="00BE26D1"/>
    <w:rsid w:val="00C55496"/>
    <w:rsid w:val="00C578A9"/>
    <w:rsid w:val="00C773C9"/>
    <w:rsid w:val="00C861A2"/>
    <w:rsid w:val="00C943E4"/>
    <w:rsid w:val="00C94CF3"/>
    <w:rsid w:val="00CA1A0D"/>
    <w:rsid w:val="00CA2DDA"/>
    <w:rsid w:val="00CB13B5"/>
    <w:rsid w:val="00CD4158"/>
    <w:rsid w:val="00D02BA3"/>
    <w:rsid w:val="00D23069"/>
    <w:rsid w:val="00D34F2F"/>
    <w:rsid w:val="00D3633F"/>
    <w:rsid w:val="00D45056"/>
    <w:rsid w:val="00DA0095"/>
    <w:rsid w:val="00DC3BAE"/>
    <w:rsid w:val="00DD6564"/>
    <w:rsid w:val="00DE228D"/>
    <w:rsid w:val="00DE245F"/>
    <w:rsid w:val="00DF0EDB"/>
    <w:rsid w:val="00E50231"/>
    <w:rsid w:val="00E9105A"/>
    <w:rsid w:val="00E93911"/>
    <w:rsid w:val="00EA4488"/>
    <w:rsid w:val="00EB6217"/>
    <w:rsid w:val="00ED0E25"/>
    <w:rsid w:val="00EE447A"/>
    <w:rsid w:val="00EE4F91"/>
    <w:rsid w:val="00EE57E3"/>
    <w:rsid w:val="00EE7211"/>
    <w:rsid w:val="00EE7BE1"/>
    <w:rsid w:val="00EF536B"/>
    <w:rsid w:val="00EF7BD9"/>
    <w:rsid w:val="00F060D5"/>
    <w:rsid w:val="00F41881"/>
    <w:rsid w:val="00F41A86"/>
    <w:rsid w:val="00F91C7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D3920"/>
  <w15:chartTrackingRefBased/>
  <w15:docId w15:val="{E479E364-2315-40F6-B65C-4C43560DD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245F"/>
    <w:pPr>
      <w:spacing w:after="0" w:line="240" w:lineRule="auto"/>
    </w:pPr>
    <w:rPr>
      <w:rFonts w:ascii="Calibri" w:eastAsia="Times New Roman" w:hAnsi="Calibri" w:cs="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4835"/>
    <w:pPr>
      <w:tabs>
        <w:tab w:val="center" w:pos="4680"/>
        <w:tab w:val="right" w:pos="9360"/>
      </w:tabs>
    </w:pPr>
    <w:rPr>
      <w:rFonts w:asciiTheme="minorHAnsi" w:eastAsiaTheme="minorHAnsi" w:hAnsiTheme="minorHAnsi" w:cstheme="minorBidi"/>
      <w:szCs w:val="28"/>
    </w:rPr>
  </w:style>
  <w:style w:type="character" w:customStyle="1" w:styleId="HeaderChar">
    <w:name w:val="Header Char"/>
    <w:basedOn w:val="DefaultParagraphFont"/>
    <w:link w:val="Header"/>
    <w:uiPriority w:val="99"/>
    <w:rsid w:val="00754835"/>
  </w:style>
  <w:style w:type="paragraph" w:styleId="Footer">
    <w:name w:val="footer"/>
    <w:basedOn w:val="Normal"/>
    <w:link w:val="FooterChar"/>
    <w:uiPriority w:val="99"/>
    <w:unhideWhenUsed/>
    <w:rsid w:val="00754835"/>
    <w:pPr>
      <w:tabs>
        <w:tab w:val="center" w:pos="4680"/>
        <w:tab w:val="right" w:pos="9360"/>
      </w:tabs>
    </w:pPr>
    <w:rPr>
      <w:rFonts w:asciiTheme="minorHAnsi" w:eastAsiaTheme="minorHAnsi" w:hAnsiTheme="minorHAnsi" w:cstheme="minorBidi"/>
      <w:szCs w:val="28"/>
    </w:rPr>
  </w:style>
  <w:style w:type="character" w:customStyle="1" w:styleId="FooterChar">
    <w:name w:val="Footer Char"/>
    <w:basedOn w:val="DefaultParagraphFont"/>
    <w:link w:val="Footer"/>
    <w:uiPriority w:val="99"/>
    <w:rsid w:val="00754835"/>
  </w:style>
  <w:style w:type="character" w:styleId="Emphasis">
    <w:name w:val="Emphasis"/>
    <w:basedOn w:val="DefaultParagraphFont"/>
    <w:uiPriority w:val="20"/>
    <w:qFormat/>
    <w:rsid w:val="00754835"/>
    <w:rPr>
      <w:i/>
      <w:iCs/>
    </w:rPr>
  </w:style>
  <w:style w:type="character" w:styleId="Hyperlink">
    <w:name w:val="Hyperlink"/>
    <w:basedOn w:val="DefaultParagraphFont"/>
    <w:uiPriority w:val="99"/>
    <w:unhideWhenUsed/>
    <w:rsid w:val="007135F6"/>
    <w:rPr>
      <w:color w:val="0563C1" w:themeColor="hyperlink"/>
      <w:u w:val="single"/>
    </w:rPr>
  </w:style>
  <w:style w:type="paragraph" w:styleId="NoSpacing">
    <w:name w:val="No Spacing"/>
    <w:uiPriority w:val="1"/>
    <w:qFormat/>
    <w:rsid w:val="00AB1E3D"/>
    <w:pPr>
      <w:spacing w:after="0" w:line="240" w:lineRule="auto"/>
    </w:pPr>
  </w:style>
  <w:style w:type="paragraph" w:customStyle="1" w:styleId="Default">
    <w:name w:val="Default"/>
    <w:rsid w:val="00D45056"/>
    <w:pPr>
      <w:autoSpaceDE w:val="0"/>
      <w:autoSpaceDN w:val="0"/>
      <w:adjustRightInd w:val="0"/>
      <w:spacing w:after="0" w:line="240" w:lineRule="auto"/>
    </w:pPr>
    <w:rPr>
      <w:rFonts w:ascii="TH SarabunPSK" w:hAnsi="TH SarabunPSK" w:cs="TH SarabunPSK"/>
      <w:color w:val="000000"/>
      <w:sz w:val="24"/>
      <w:szCs w:val="24"/>
    </w:rPr>
  </w:style>
  <w:style w:type="paragraph" w:styleId="NormalWeb">
    <w:name w:val="Normal (Web)"/>
    <w:basedOn w:val="Normal"/>
    <w:uiPriority w:val="99"/>
    <w:unhideWhenUsed/>
    <w:rsid w:val="0048629E"/>
    <w:pPr>
      <w:spacing w:before="100" w:beforeAutospacing="1" w:after="100" w:afterAutospacing="1"/>
    </w:pPr>
    <w:rPr>
      <w:rFonts w:ascii="Times New Roman" w:hAnsi="Times New Roman" w:cs="Times New Roman"/>
      <w:sz w:val="24"/>
      <w:szCs w:val="24"/>
    </w:rPr>
  </w:style>
  <w:style w:type="paragraph" w:styleId="Revision">
    <w:name w:val="Revision"/>
    <w:hidden/>
    <w:uiPriority w:val="99"/>
    <w:semiHidden/>
    <w:rsid w:val="00C55496"/>
    <w:pPr>
      <w:spacing w:after="0" w:line="240" w:lineRule="auto"/>
    </w:pPr>
    <w:rPr>
      <w:rFonts w:ascii="Calibri" w:eastAsia="Times New Roman" w:hAnsi="Calibri" w:cs="Angsana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233627">
      <w:bodyDiv w:val="1"/>
      <w:marLeft w:val="0"/>
      <w:marRight w:val="0"/>
      <w:marTop w:val="0"/>
      <w:marBottom w:val="0"/>
      <w:divBdr>
        <w:top w:val="none" w:sz="0" w:space="0" w:color="auto"/>
        <w:left w:val="none" w:sz="0" w:space="0" w:color="auto"/>
        <w:bottom w:val="none" w:sz="0" w:space="0" w:color="auto"/>
        <w:right w:val="none" w:sz="0" w:space="0" w:color="auto"/>
      </w:divBdr>
    </w:div>
    <w:div w:id="293995581">
      <w:bodyDiv w:val="1"/>
      <w:marLeft w:val="0"/>
      <w:marRight w:val="0"/>
      <w:marTop w:val="0"/>
      <w:marBottom w:val="0"/>
      <w:divBdr>
        <w:top w:val="none" w:sz="0" w:space="0" w:color="auto"/>
        <w:left w:val="none" w:sz="0" w:space="0" w:color="auto"/>
        <w:bottom w:val="none" w:sz="0" w:space="0" w:color="auto"/>
        <w:right w:val="none" w:sz="0" w:space="0" w:color="auto"/>
      </w:divBdr>
    </w:div>
    <w:div w:id="999967735">
      <w:bodyDiv w:val="1"/>
      <w:marLeft w:val="0"/>
      <w:marRight w:val="0"/>
      <w:marTop w:val="0"/>
      <w:marBottom w:val="0"/>
      <w:divBdr>
        <w:top w:val="none" w:sz="0" w:space="0" w:color="auto"/>
        <w:left w:val="none" w:sz="0" w:space="0" w:color="auto"/>
        <w:bottom w:val="none" w:sz="0" w:space="0" w:color="auto"/>
        <w:right w:val="none" w:sz="0" w:space="0" w:color="auto"/>
      </w:divBdr>
    </w:div>
    <w:div w:id="1167289742">
      <w:bodyDiv w:val="1"/>
      <w:marLeft w:val="0"/>
      <w:marRight w:val="0"/>
      <w:marTop w:val="0"/>
      <w:marBottom w:val="0"/>
      <w:divBdr>
        <w:top w:val="none" w:sz="0" w:space="0" w:color="auto"/>
        <w:left w:val="none" w:sz="0" w:space="0" w:color="auto"/>
        <w:bottom w:val="none" w:sz="0" w:space="0" w:color="auto"/>
        <w:right w:val="none" w:sz="0" w:space="0" w:color="auto"/>
      </w:divBdr>
    </w:div>
    <w:div w:id="1307469058">
      <w:bodyDiv w:val="1"/>
      <w:marLeft w:val="0"/>
      <w:marRight w:val="0"/>
      <w:marTop w:val="0"/>
      <w:marBottom w:val="0"/>
      <w:divBdr>
        <w:top w:val="none" w:sz="0" w:space="0" w:color="auto"/>
        <w:left w:val="none" w:sz="0" w:space="0" w:color="auto"/>
        <w:bottom w:val="none" w:sz="0" w:space="0" w:color="auto"/>
        <w:right w:val="none" w:sz="0" w:space="0" w:color="auto"/>
      </w:divBdr>
    </w:div>
    <w:div w:id="1618292121">
      <w:bodyDiv w:val="1"/>
      <w:marLeft w:val="0"/>
      <w:marRight w:val="0"/>
      <w:marTop w:val="0"/>
      <w:marBottom w:val="0"/>
      <w:divBdr>
        <w:top w:val="none" w:sz="0" w:space="0" w:color="auto"/>
        <w:left w:val="none" w:sz="0" w:space="0" w:color="auto"/>
        <w:bottom w:val="none" w:sz="0" w:space="0" w:color="auto"/>
        <w:right w:val="none" w:sz="0" w:space="0" w:color="auto"/>
      </w:divBdr>
    </w:div>
    <w:div w:id="1742869222">
      <w:bodyDiv w:val="1"/>
      <w:marLeft w:val="0"/>
      <w:marRight w:val="0"/>
      <w:marTop w:val="0"/>
      <w:marBottom w:val="0"/>
      <w:divBdr>
        <w:top w:val="none" w:sz="0" w:space="0" w:color="auto"/>
        <w:left w:val="none" w:sz="0" w:space="0" w:color="auto"/>
        <w:bottom w:val="none" w:sz="0" w:space="0" w:color="auto"/>
        <w:right w:val="none" w:sz="0" w:space="0" w:color="auto"/>
      </w:divBdr>
    </w:div>
    <w:div w:id="189657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cgchemicals.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401</Words>
  <Characters>2291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Supaporn Sootsuwan</dc:creator>
  <cp:keywords/>
  <dc:description/>
  <cp:lastModifiedBy>Manatcha Raksamata</cp:lastModifiedBy>
  <cp:revision>3</cp:revision>
  <dcterms:created xsi:type="dcterms:W3CDTF">2023-12-26T02:05:00Z</dcterms:created>
  <dcterms:modified xsi:type="dcterms:W3CDTF">2023-12-26T02:08:00Z</dcterms:modified>
</cp:coreProperties>
</file>